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89" w:rsidRDefault="00F53489" w:rsidP="00F53489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Профилактические медицинские осмотры и диспансеризация</w:t>
      </w:r>
    </w:p>
    <w:p w:rsidR="00F53489" w:rsidRDefault="00F53489" w:rsidP="00F53489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граждан</w:t>
      </w:r>
    </w:p>
    <w:bookmarkEnd w:id="0"/>
    <w:p w:rsidR="00F53489" w:rsidRDefault="00F53489" w:rsidP="00F53489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проведении профилактических мероприятий организуются для граждан профилактические медицинские осмотры, диспансеризация, в том числе в вечерние часы в будние дни и субботу, а также обеспечивается возможность записи на медицинские исследования очно, по телефону и дистанционно.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График проведения профилактических медицинских осмотров и диспансеризации (включая углубленную диспансеризацию и диспансеризацию граждан репродуктивного возраста по оценке репродуктивного здоровья) размещает медицинская организация в открытом доступе на стенде при входе в медицинскую организацию, а также на официальном сайте медицинской организации в сети Интернет.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также для оценки репродуктивного здоровья женщин и мужчин.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Граждане, переболевшие новой </w:t>
      </w:r>
      <w:proofErr w:type="spellStart"/>
      <w:r>
        <w:rPr>
          <w:color w:val="000000" w:themeColor="text1"/>
          <w:sz w:val="28"/>
          <w:szCs w:val="28"/>
        </w:rPr>
        <w:t>коронавирусной</w:t>
      </w:r>
      <w:proofErr w:type="spellEnd"/>
      <w:r>
        <w:rPr>
          <w:color w:val="000000" w:themeColor="text1"/>
          <w:sz w:val="28"/>
          <w:szCs w:val="28"/>
        </w:rPr>
        <w:t xml:space="preserve"> инфекцией (COVID-19), включая случаи заболеваний, когда отсутствует подтверждение перенесенной </w:t>
      </w:r>
      <w:proofErr w:type="spellStart"/>
      <w:r>
        <w:rPr>
          <w:color w:val="000000" w:themeColor="text1"/>
          <w:sz w:val="28"/>
          <w:szCs w:val="28"/>
        </w:rPr>
        <w:t>коронавирусной</w:t>
      </w:r>
      <w:proofErr w:type="spellEnd"/>
      <w:r>
        <w:rPr>
          <w:color w:val="000000" w:themeColor="text1"/>
          <w:sz w:val="28"/>
          <w:szCs w:val="28"/>
        </w:rPr>
        <w:t xml:space="preserve">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таблице 13.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установлен приказом Минздрава России от 1 июля 2021 года № 698н.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Медицинские организации,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территориальный фонд обязательного медицинского страхования автономного округа, который доводит указанный перечень до страховой медицинской организации, в которой застрахованы граждане, подлежащие углубленной диспансеризации.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«Единый портал государственных и муниципальных услуг (функций)», сети радиотелефонной связи (смс-сообщения) и иных доступных средств связи.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Запись граждан на углубленную диспансеризацию осуществляется в установленном порядке, в том числе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Медицинские организации организуют прохождение в течение 1 дня углубленной диспансеризации гражданином, исходя из выполнения всех исследований и иных медицинских вмешательств первого этапа углубленной диспансеризации, в соответствии с таблицей 13.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результатам углубленной диспансеризации в случае выявления у гражданина хронических неинфекционных заболеваний, в том числе связанных с перенесенной новой </w:t>
      </w:r>
      <w:proofErr w:type="spellStart"/>
      <w:r>
        <w:rPr>
          <w:color w:val="000000" w:themeColor="text1"/>
          <w:sz w:val="28"/>
          <w:szCs w:val="28"/>
        </w:rPr>
        <w:t>коронавирусной</w:t>
      </w:r>
      <w:proofErr w:type="spellEnd"/>
      <w:r>
        <w:rPr>
          <w:color w:val="000000" w:themeColor="text1"/>
          <w:sz w:val="28"/>
          <w:szCs w:val="28"/>
        </w:rPr>
        <w:t xml:space="preserve"> инфекцией (COVID-19), гражданина в течение 3 рабочих дней в установленном порядке направляют на дополнительные обследования, ставят на диспансерное наблюдение. При наличии показаний ему оказывается соответствующее лечение и медицинская реабилитация в порядке организации медицинской реабилитации взрослых, установленном приказом Минздрава России от 31 июля 2020 года № 788н, предоставляются лекарственные препараты в соответствии с законодательством Российской Федерации по заболеванию, включенному в Перечень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и Перечень групп населения, при амбулаторном лечении которых лекарственные средства отпускаются по рецептам врачей с 50-процентной скидкой, утвержденные постановлением Правительства Российской Федерации от 30 июля 1994 года № 890.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необходимости для проведения медицинских исследований в ходе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женщин и мужчин репродуктивного возраста поэтапно в зависимости от возрастных групп, в том числе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репродуктивного здоровья (далее – диспансеризация для оценки репродуктивного здоровья женщин и мужчин), включающей исследования и иные медицинские вмешательства по перечню согласно таблице 15.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организацию, в том числе федеральную. В случае отсутствия в медицинской организации, к которой прикреплен соответствующий гражданин, врача – акушера-гинеколога, врача-уролога (врача-хирурга, прошедшего подготовку по вопросам репродуктивного здоровья) медицинская организация привлекает к проведению диспансеризации соответствующих врачей иных медицинских </w:t>
      </w:r>
      <w:r>
        <w:rPr>
          <w:color w:val="000000" w:themeColor="text1"/>
          <w:sz w:val="28"/>
          <w:szCs w:val="28"/>
        </w:rPr>
        <w:lastRenderedPageBreak/>
        <w:t>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 и диспансеризацию взрослого населения репродуктивного возраста по оценке репродуктивного здоровья женщин и мужчин, а также порядок их работы </w:t>
      </w:r>
      <w:proofErr w:type="spellStart"/>
      <w:r>
        <w:rPr>
          <w:color w:val="000000" w:themeColor="text1"/>
          <w:sz w:val="28"/>
          <w:szCs w:val="28"/>
        </w:rPr>
        <w:t>Депздрав</w:t>
      </w:r>
      <w:proofErr w:type="spellEnd"/>
      <w:r>
        <w:rPr>
          <w:color w:val="000000" w:themeColor="text1"/>
          <w:sz w:val="28"/>
          <w:szCs w:val="28"/>
        </w:rPr>
        <w:t xml:space="preserve"> Югры размещает на своем официальном сайте в информационно-телекоммуникационной сети Интернет.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территориальный фонд обязательного медицинского страхования автономного округа.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 автономного округа.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>Лица из числа граждан, имеющих нарушения здоровья со стойким расстройством функций организма, обусловленным заболеваниями, последствиями травм или дефектами, приводящими к ограничениям жизнедеятельности, выраженным в неспособности к самообслуживанию, в нуждаемости в постоянной посторонней помощи и уходе, полной зависимости от других лиц (далее –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 xml:space="preserve">Оплата диспансеризации, указанной в абзаце пятнадцатом настоящего подраздела, проводимой в стационарных условиях, осуществляется при условии обязательного выполнения 100 процентов объема первого этапа </w:t>
      </w:r>
      <w:r>
        <w:rPr>
          <w:color w:val="000000" w:themeColor="text1"/>
          <w:sz w:val="28"/>
          <w:szCs w:val="28"/>
          <w:lang w:bidi="en-US"/>
        </w:rPr>
        <w:lastRenderedPageBreak/>
        <w:t>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страхованию, устанавливаемым в соответствии с приложением № 4 к Программе, в пределах объемов медицинской помощи, установленных в Территориальной программе.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>Территориальные фонды обязательного медицинского страхования ведут учет случаев проведения диспансеризации в стационарных условиях и их результатов.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информацию о наличии у гражданина личного кабинета в федеральной государственной информационной системе «Единый портал государственных и муниципальных услуг (функций)» (далее – личный кабинет) и вносит данную информацию в медицинскую документацию гражданина.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обследования, информацию о результатах прохождения диспансеризации: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>гражданину, у которого есть личный кабинет, направляют в личный кабинет (очное посещение медицинской организации для получения результатов диспансеризации не требуется);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>гражданину, у которого нет личного кабинета, медицинский работник, ответственный за проведение профилактического осмотра или диспансеризации, передает в ходе очного приема.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>О направлении результатов диспансеризации в личный кабинет гражданину сообщает посредством смс-сообщения или иным способом его страховая медицинская организация, получившая данную информацию от медицинской организации, в которой гражданин проходил профилактический осмотр или диспансеризацию.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en-US"/>
        </w:rPr>
        <w:t xml:space="preserve">При этом гражданин, имеющий личный кабинет, вправе получить информацию о результатах диспансеризации в ходе очного приема </w:t>
      </w:r>
      <w:r>
        <w:rPr>
          <w:color w:val="000000" w:themeColor="text1"/>
          <w:sz w:val="28"/>
          <w:szCs w:val="28"/>
          <w:lang w:bidi="en-US"/>
        </w:rPr>
        <w:br/>
        <w:t xml:space="preserve">у медицинского работника, ответственного за проведение профилактического </w:t>
      </w:r>
      <w:r>
        <w:rPr>
          <w:color w:val="000000" w:themeColor="text1"/>
          <w:sz w:val="28"/>
          <w:szCs w:val="28"/>
          <w:lang w:bidi="en-US"/>
        </w:rPr>
        <w:lastRenderedPageBreak/>
        <w:t>осмотра или диспансеризации.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Территориальный фонд обязательного медицинского страхования автономного округа осуществляет мониторинг хода информирования страховыми медицинскими организациями застрахованных лиц, проживающих в месте выезда, а также осуществляет сбор данных о количестве лиц, прошедших профилактические медицинские осмотры, диспансеризацию, углубленную диспансеризацию и диспансеризацию взрослого населения репродуктивного возраста по оценке репродуктивного здоровья женщин и мужчин, результатах мероприятий и передает агрегированные сведения Федеральному фонду обязательного медицинского страхования в порядке, установленном законодательством Российской Федерации.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Дополнительная оплата труда медицинских работников по проведению профилактических медицинских осмотров, в том числе в ходе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проведении профилактического медицинского осмотра, диспансеризации могут учитываться результаты ранее проведенных (не позднее 1 года) диагностических исследований и иных медицинских мероприятий, в том числе в рамках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ходе профилактического медицинского осмотра и диспансеризации.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случае выявления у гражданина в течение 1 года после прохождения диспансеризации заболевания, которое могло быть выявлено на диспансеризации, страховая медицинская организация проводит по данному случаю медико-экономическую экспертизу, а при необходимости – экспертизу качества медицинской помощи в порядке, утвержденном Минздравом России.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Результаты указанных экспертиз страховая медицинская организация направляет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Федерации.</w:t>
      </w:r>
    </w:p>
    <w:p w:rsidR="00F53489" w:rsidRDefault="00F53489" w:rsidP="00F53489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F53489" w:rsidRDefault="00F53489" w:rsidP="00F53489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Диспансерное наблюдение за гражданами</w:t>
      </w:r>
    </w:p>
    <w:p w:rsidR="00F53489" w:rsidRDefault="00F53489" w:rsidP="00F53489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Диспансерное наблюдение за пациентами с неинфекционными </w:t>
      </w:r>
      <w:r>
        <w:rPr>
          <w:color w:val="000000" w:themeColor="text1"/>
          <w:sz w:val="28"/>
          <w:szCs w:val="28"/>
        </w:rPr>
        <w:lastRenderedPageBreak/>
        <w:t>заболеваниями, а также за гражданами с высоким риском развития сердечно-сосудистых и онкологических заболеваний проводится в соответствии с порядками, установленными приказами Минздрава России от 4 июня 2020 года № 548н, от 15 марта 2022 года № 168н.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Оценку соблюдения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территориальному фонду обязательного медицинского страхования автономного округа, а также в </w:t>
      </w:r>
      <w:proofErr w:type="spellStart"/>
      <w:r>
        <w:rPr>
          <w:color w:val="000000" w:themeColor="text1"/>
          <w:sz w:val="28"/>
          <w:szCs w:val="28"/>
        </w:rPr>
        <w:t>Депздрав</w:t>
      </w:r>
      <w:proofErr w:type="spellEnd"/>
      <w:r>
        <w:rPr>
          <w:color w:val="000000" w:themeColor="text1"/>
          <w:sz w:val="28"/>
          <w:szCs w:val="28"/>
        </w:rPr>
        <w:t xml:space="preserve"> Югры для анализа и принятия управленческих решений.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Медицинские организации с использованием Единого портала государственных услуг Российской Федерации, а также с привлечением страховых медицинских организаций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– диспансерное наблюдение работающих граждан), которое может осуществляться: 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 силами и средствами такого подразделения;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подведомственности, участвующей в территориальной программе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установленном Минздравом России). Копию договора о проведении диспансерного наблюдения работающих граждан между работодателем и указанной медицинской организацией, заверенную в установленном порядке, медицинская организация направляет в территориальный фонд обязательного медицинского страхования автономного округа в целях последующей оплаты оказанных комплексных посещений по диспансеризации работающих граждан по отдельным реестрам счетов.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Диспансерное наблюдение работающего гражданина также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осмотров, исследований по месту осуществления гражданином служебной деятельности.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Если медицинская организация, осуществляющая диспансерное </w:t>
      </w:r>
      <w:r>
        <w:rPr>
          <w:color w:val="000000" w:themeColor="text1"/>
          <w:sz w:val="28"/>
          <w:szCs w:val="28"/>
        </w:rPr>
        <w:lastRenderedPageBreak/>
        <w:t>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медицинская организация направляет сведения о его результатах прохождения диспансерного наблюдения в медицинскую организацию, к которой прикреплен гражданин,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этом случае территориальный фонд обязательного медицинского страхования автономного округа осуществляет контроль правильности учета проведенного диспансерного наблюдения работающих граждан в целях исключения дублирования данного наблюдения.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устанавливает Минздрав России.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Территориальный фонд обязательного медицинского страхования автономного округа ведет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Федеральному фонду обязательного медицинского страхования.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Минздрав России дает разъяснения по порядку проведения диспансерного наблюдения работающих граждан, а также осуществляет его мониторинг.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Дистанционное наблюдение назначает лечащий врач, включая программу и порядок дистанционного наблюдения, по результатам очного приема (осмотра, консультации) и установления диагноза.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здравоохранения, и (или) государственной информационной системы в сфере здравоохранения субъекта Российской Федерации, и (или) медицинских информационных систем, и (или) иных информационных систем.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диабетом.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</w:t>
      </w:r>
      <w:r>
        <w:rPr>
          <w:color w:val="000000" w:themeColor="text1"/>
          <w:sz w:val="28"/>
          <w:szCs w:val="28"/>
        </w:rPr>
        <w:lastRenderedPageBreak/>
        <w:t xml:space="preserve">с артериальной гипертензией и пациентов с сахарным диабетом установлены с учетом расходов, связанных с оплатой дистанционного наблюдения 1 пациенту в течение всего календарного года с учетом частоты и кратности проведения дистанционного наблюдения. </w:t>
      </w:r>
    </w:p>
    <w:p w:rsidR="00F53489" w:rsidRDefault="00F53489" w:rsidP="00F53489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счет бюджетных ассигнований соответствующих бюджетов может осуществляться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для проведения дистанционного наблюдения в рамках базовой программы обязательного медицинского страхования, а также расходов, связанных с использованием систем поддержки принятия врачебных решений. Медицинские изделия, необходимые для проведения дистанционного наблюдения в рамках базовой программы обязательного медицинского страхования, могут быть также приобретены за счет личных средств граждан.</w:t>
      </w:r>
    </w:p>
    <w:p w:rsidR="00F53489" w:rsidRDefault="00F53489" w:rsidP="00F53489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F53489" w:rsidRDefault="00F53489" w:rsidP="00F53489">
      <w:pPr>
        <w:spacing w:after="160" w:line="256" w:lineRule="auto"/>
        <w:rPr>
          <w:rFonts w:asciiTheme="minorHAnsi" w:eastAsiaTheme="minorEastAsia" w:hAnsiTheme="minorHAnsi"/>
          <w:b/>
          <w:i/>
          <w:sz w:val="22"/>
          <w:szCs w:val="22"/>
        </w:rPr>
      </w:pPr>
      <w:hyperlink r:id="rId4" w:history="1">
        <w:r>
          <w:rPr>
            <w:rFonts w:eastAsiaTheme="minorEastAsia"/>
            <w:b/>
            <w:i/>
            <w:iCs/>
            <w:sz w:val="22"/>
            <w:szCs w:val="22"/>
          </w:rPr>
          <w:br/>
        </w:r>
        <w:r>
          <w:rPr>
            <w:rStyle w:val="a3"/>
            <w:rFonts w:eastAsiaTheme="minorEastAsia"/>
            <w:b/>
            <w:i/>
            <w:iCs/>
            <w:sz w:val="22"/>
            <w:szCs w:val="22"/>
          </w:rPr>
          <w:t xml:space="preserve">Постановление </w:t>
        </w:r>
        <w:r>
          <w:rPr>
            <w:rStyle w:val="a3"/>
            <w:rFonts w:eastAsiaTheme="minorEastAsia"/>
            <w:b/>
            <w:i/>
            <w:sz w:val="22"/>
            <w:szCs w:val="22"/>
          </w:rPr>
          <w:t>Правительства Ханты-Мансийского автономного округа – Югры от 30 декабря 2025 года № 592-п</w:t>
        </w:r>
        <w:r>
          <w:rPr>
            <w:rStyle w:val="a3"/>
            <w:rFonts w:eastAsiaTheme="minorEastAsia"/>
            <w:b/>
            <w:i/>
            <w:iCs/>
            <w:sz w:val="22"/>
            <w:szCs w:val="22"/>
          </w:rPr>
          <w:t xml:space="preserve"> "О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2026 год и на плановый период 2027 и 2028 годов"</w:t>
        </w:r>
      </w:hyperlink>
      <w:r>
        <w:rPr>
          <w:rFonts w:eastAsiaTheme="minorEastAsia"/>
          <w:b/>
          <w:i/>
          <w:sz w:val="22"/>
          <w:szCs w:val="22"/>
        </w:rPr>
        <w:br/>
      </w:r>
    </w:p>
    <w:p w:rsidR="00F53489" w:rsidRDefault="00F53489" w:rsidP="00F53489"/>
    <w:p w:rsidR="00C00363" w:rsidRDefault="00C00363"/>
    <w:sectPr w:rsidR="00C0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7C"/>
    <w:rsid w:val="00A9497C"/>
    <w:rsid w:val="00C00363"/>
    <w:rsid w:val="00F5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1509F-596D-4D6A-9806-D4B6E739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4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4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F53489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3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926&amp;n=298301&amp;date=18.03.2024&amp;dst=10004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3082</Words>
  <Characters>17572</Characters>
  <Application>Microsoft Office Word</Application>
  <DocSecurity>0</DocSecurity>
  <Lines>146</Lines>
  <Paragraphs>41</Paragraphs>
  <ScaleCrop>false</ScaleCrop>
  <Company>БУ ХМАО ОКД "ЦДиССХ"</Company>
  <LinksUpToDate>false</LinksUpToDate>
  <CharactersWithSpaces>20613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2</cp:revision>
  <dcterms:created xsi:type="dcterms:W3CDTF">2026-01-16T04:44:00Z</dcterms:created>
  <dcterms:modified xsi:type="dcterms:W3CDTF">2026-01-16T04:45:00Z</dcterms:modified>
</cp:coreProperties>
</file>