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1A0" w:rsidRDefault="006E4D2D" w:rsidP="001401A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Раздел III. </w:t>
      </w:r>
      <w:r w:rsidR="001401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заболеваний и состояний, оказание медицинской помощи при которых осуществляется бесплатно, и категории граждан, оказание медицинской помощи которым </w:t>
      </w:r>
    </w:p>
    <w:p w:rsidR="001401A0" w:rsidRDefault="001401A0" w:rsidP="001401A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бесплатно</w:t>
      </w:r>
    </w:p>
    <w:p w:rsidR="001401A0" w:rsidRDefault="001401A0" w:rsidP="001401A0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Гражданин имеет право на бесплатное получение медицинской помощи по видам, формам и условиям ее оказания в соответствии с разделом II Территориальной программы при следующих заболеваниях и состояниях: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инфекционные и паразитарные болезни;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новообразования;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эндокринной системы;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расстройства питания и нарушения обмена веществ;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нервной системы;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крови, кроветворных органов;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отдельные нарушения, вовлекающие иммунный механизм;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глаза и его придаточного аппарата;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уха и сосцевидного отростка;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системы кровообращения;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органов дыхания;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мочеполовой системы;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кожи и подкожной клетчатки;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болезни костно-мышечной системы и соединительной ткани;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травмы, отравления и некоторые другие последствия воздействия внешних причин;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врожденные аномалии (пороки развития);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деформации и хромосомные нарушения;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беременность, роды, послеродовой период и аборты;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отдельные состояния, возникающие у детей в перинатальный период;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психические расстройства и расстройства поведения;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симптомы, признаки и отклонения от нормы, не отнесенные к заболеваниям и состояниям.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Гражданин имеет право не реже 1 раза в год на бесплатный профилактический медицинский осмотр, в том числе в условиях диспансеризации.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законодательством Российской Федерации отдельные категории граждан имеют право на: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обеспечение лекарственными препаратами (в соответствии с разделом V Территориальной программы);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– определенные группы взрослого населения (в возрасте 18 лет и старше), в том числе работающие и неработающие граждане, обучающиеся в </w:t>
      </w:r>
      <w:r>
        <w:rPr>
          <w:color w:val="000000" w:themeColor="text1"/>
          <w:sz w:val="28"/>
          <w:szCs w:val="28"/>
        </w:rPr>
        <w:lastRenderedPageBreak/>
        <w:t>образовательных организациях по очной форме;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медицинские осмотры, в том числе профилактические медицинские осмотры, в связи с занятиями физической культурой и спортом – несовершеннолетние граждане;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диспансеризацию – пребывающие в стационарных учреждениях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диспансерное наблюдение – граждане, страдающие социально значимыми заболеваниями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расстройствами, иными состояниями;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медицинское обследование, лечение и медицинскую реабилитацию в ходе Территориальной программы –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пренатальную</w:t>
      </w:r>
      <w:proofErr w:type="spellEnd"/>
      <w:r>
        <w:rPr>
          <w:color w:val="000000" w:themeColor="text1"/>
          <w:sz w:val="28"/>
          <w:szCs w:val="28"/>
        </w:rPr>
        <w:t xml:space="preserve"> (дородовую) диагностику нарушений развития ребенка, включая </w:t>
      </w:r>
      <w:proofErr w:type="spellStart"/>
      <w:r>
        <w:rPr>
          <w:color w:val="000000" w:themeColor="text1"/>
          <w:sz w:val="28"/>
          <w:szCs w:val="28"/>
        </w:rPr>
        <w:t>неинвазивное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пренатальное</w:t>
      </w:r>
      <w:proofErr w:type="spellEnd"/>
      <w:r>
        <w:rPr>
          <w:color w:val="000000" w:themeColor="text1"/>
          <w:sz w:val="28"/>
          <w:szCs w:val="28"/>
        </w:rPr>
        <w:t xml:space="preserve"> тестирование (определение внеклеточной ДНК плода по крови матери) – беременные женщины;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аудиологический</w:t>
      </w:r>
      <w:proofErr w:type="spellEnd"/>
      <w:r>
        <w:rPr>
          <w:color w:val="000000" w:themeColor="text1"/>
          <w:sz w:val="28"/>
          <w:szCs w:val="28"/>
        </w:rPr>
        <w:t xml:space="preserve"> скрининг – новорожденные дети и дети первого года жизни;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неонатальный скрининг (классическая </w:t>
      </w:r>
      <w:proofErr w:type="spellStart"/>
      <w:r>
        <w:rPr>
          <w:color w:val="000000" w:themeColor="text1"/>
          <w:sz w:val="28"/>
          <w:szCs w:val="28"/>
        </w:rPr>
        <w:t>фенилкетонурия</w:t>
      </w:r>
      <w:proofErr w:type="spellEnd"/>
      <w:r>
        <w:rPr>
          <w:color w:val="000000" w:themeColor="text1"/>
          <w:sz w:val="28"/>
          <w:szCs w:val="28"/>
        </w:rPr>
        <w:t xml:space="preserve">; </w:t>
      </w:r>
      <w:proofErr w:type="spellStart"/>
      <w:r>
        <w:rPr>
          <w:color w:val="000000" w:themeColor="text1"/>
          <w:sz w:val="28"/>
          <w:szCs w:val="28"/>
        </w:rPr>
        <w:t>фенилкетонурия</w:t>
      </w:r>
      <w:proofErr w:type="spellEnd"/>
      <w:r>
        <w:rPr>
          <w:color w:val="000000" w:themeColor="text1"/>
          <w:sz w:val="28"/>
          <w:szCs w:val="28"/>
        </w:rPr>
        <w:t xml:space="preserve"> B; врожденный гипотиреоз с диффузным зобом; врожденный гипотиреоз без зоба; кистозный фиброз неуточненный (</w:t>
      </w:r>
      <w:proofErr w:type="spellStart"/>
      <w:r>
        <w:rPr>
          <w:color w:val="000000" w:themeColor="text1"/>
          <w:sz w:val="28"/>
          <w:szCs w:val="28"/>
        </w:rPr>
        <w:t>муковисцидоз</w:t>
      </w:r>
      <w:proofErr w:type="spellEnd"/>
      <w:r>
        <w:rPr>
          <w:color w:val="000000" w:themeColor="text1"/>
          <w:sz w:val="28"/>
          <w:szCs w:val="28"/>
        </w:rPr>
        <w:t>); нарушение обмена галактозы (</w:t>
      </w:r>
      <w:proofErr w:type="spellStart"/>
      <w:r>
        <w:rPr>
          <w:color w:val="000000" w:themeColor="text1"/>
          <w:sz w:val="28"/>
          <w:szCs w:val="28"/>
        </w:rPr>
        <w:t>галактоземия</w:t>
      </w:r>
      <w:proofErr w:type="spellEnd"/>
      <w:r>
        <w:rPr>
          <w:color w:val="000000" w:themeColor="text1"/>
          <w:sz w:val="28"/>
          <w:szCs w:val="28"/>
        </w:rPr>
        <w:t>); адреногенитальное нарушение неуточненное (адреногенитальный синдром); адреногенитальные нарушения, связанные с дефицитом ферментов) – новорожденные, родившиеся живыми;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расширенный неонатальный скрининг (недостаточность других уточненных витаминов группы B (дефицит </w:t>
      </w:r>
      <w:proofErr w:type="spellStart"/>
      <w:r>
        <w:rPr>
          <w:color w:val="000000" w:themeColor="text1"/>
          <w:sz w:val="28"/>
          <w:szCs w:val="28"/>
        </w:rPr>
        <w:t>биотинидазы</w:t>
      </w:r>
      <w:proofErr w:type="spellEnd"/>
      <w:r>
        <w:rPr>
          <w:color w:val="000000" w:themeColor="text1"/>
          <w:sz w:val="28"/>
          <w:szCs w:val="28"/>
        </w:rPr>
        <w:t xml:space="preserve"> (дефицит биотин-зависимой карбоксилазы)); недостаточность </w:t>
      </w:r>
      <w:proofErr w:type="spellStart"/>
      <w:r>
        <w:rPr>
          <w:color w:val="000000" w:themeColor="text1"/>
          <w:sz w:val="28"/>
          <w:szCs w:val="28"/>
        </w:rPr>
        <w:t>синтетазы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голокарбоксилаз</w:t>
      </w:r>
      <w:proofErr w:type="spellEnd"/>
      <w:r>
        <w:rPr>
          <w:color w:val="000000" w:themeColor="text1"/>
          <w:sz w:val="28"/>
          <w:szCs w:val="28"/>
        </w:rPr>
        <w:t xml:space="preserve"> (недостаточность биотина); другие виды </w:t>
      </w:r>
      <w:proofErr w:type="spellStart"/>
      <w:r>
        <w:rPr>
          <w:color w:val="000000" w:themeColor="text1"/>
          <w:sz w:val="28"/>
          <w:szCs w:val="28"/>
        </w:rPr>
        <w:t>гиперфенилаланинемии</w:t>
      </w:r>
      <w:proofErr w:type="spellEnd"/>
      <w:r>
        <w:rPr>
          <w:color w:val="000000" w:themeColor="text1"/>
          <w:sz w:val="28"/>
          <w:szCs w:val="28"/>
        </w:rPr>
        <w:t xml:space="preserve"> (дефицит синтеза </w:t>
      </w:r>
      <w:proofErr w:type="spellStart"/>
      <w:r>
        <w:rPr>
          <w:color w:val="000000" w:themeColor="text1"/>
          <w:sz w:val="28"/>
          <w:szCs w:val="28"/>
        </w:rPr>
        <w:t>биоптерина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тетрагидробиоптерина</w:t>
      </w:r>
      <w:proofErr w:type="spellEnd"/>
      <w:r>
        <w:rPr>
          <w:color w:val="000000" w:themeColor="text1"/>
          <w:sz w:val="28"/>
          <w:szCs w:val="28"/>
        </w:rPr>
        <w:t xml:space="preserve">)), дефицит реактивации </w:t>
      </w:r>
      <w:proofErr w:type="spellStart"/>
      <w:r>
        <w:rPr>
          <w:color w:val="000000" w:themeColor="text1"/>
          <w:sz w:val="28"/>
          <w:szCs w:val="28"/>
        </w:rPr>
        <w:t>биоптерина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тетрагидробиоптерина</w:t>
      </w:r>
      <w:proofErr w:type="spellEnd"/>
      <w:r>
        <w:rPr>
          <w:color w:val="000000" w:themeColor="text1"/>
          <w:sz w:val="28"/>
          <w:szCs w:val="28"/>
        </w:rPr>
        <w:t>); нарушения обмена тирозина (</w:t>
      </w:r>
      <w:proofErr w:type="spellStart"/>
      <w:r>
        <w:rPr>
          <w:color w:val="000000" w:themeColor="text1"/>
          <w:sz w:val="28"/>
          <w:szCs w:val="28"/>
        </w:rPr>
        <w:t>тирозинемия</w:t>
      </w:r>
      <w:proofErr w:type="spellEnd"/>
      <w:r>
        <w:rPr>
          <w:color w:val="000000" w:themeColor="text1"/>
          <w:sz w:val="28"/>
          <w:szCs w:val="28"/>
        </w:rPr>
        <w:t>); болезнь с запахом кленового сиропа мочи (болезнь «кленового сиропа»); другие виды нарушений обмена аминокислот с разветвленной цепью (</w:t>
      </w:r>
      <w:proofErr w:type="spellStart"/>
      <w:r>
        <w:rPr>
          <w:color w:val="000000" w:themeColor="text1"/>
          <w:sz w:val="28"/>
          <w:szCs w:val="28"/>
        </w:rPr>
        <w:t>пропионовая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); </w:t>
      </w:r>
      <w:proofErr w:type="spellStart"/>
      <w:r>
        <w:rPr>
          <w:color w:val="000000" w:themeColor="text1"/>
          <w:sz w:val="28"/>
          <w:szCs w:val="28"/>
        </w:rPr>
        <w:t>метилмалоновая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метилмалонил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KoA-мутазы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метилмалоновая</w:t>
      </w:r>
      <w:proofErr w:type="spellEnd"/>
      <w:r>
        <w:rPr>
          <w:color w:val="000000" w:themeColor="text1"/>
          <w:sz w:val="28"/>
          <w:szCs w:val="28"/>
        </w:rPr>
        <w:t xml:space="preserve">); </w:t>
      </w:r>
      <w:proofErr w:type="spellStart"/>
      <w:r>
        <w:rPr>
          <w:color w:val="000000" w:themeColor="text1"/>
          <w:sz w:val="28"/>
          <w:szCs w:val="28"/>
        </w:rPr>
        <w:t>метилмалоновая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 (недостаточность кобаламина A); </w:t>
      </w:r>
      <w:proofErr w:type="spellStart"/>
      <w:r>
        <w:rPr>
          <w:color w:val="000000" w:themeColor="text1"/>
          <w:sz w:val="28"/>
          <w:szCs w:val="28"/>
        </w:rPr>
        <w:t>метилмалоновая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 (недостаточность кобаламина B); </w:t>
      </w:r>
      <w:proofErr w:type="spellStart"/>
      <w:r>
        <w:rPr>
          <w:color w:val="000000" w:themeColor="text1"/>
          <w:sz w:val="28"/>
          <w:szCs w:val="28"/>
        </w:rPr>
        <w:t>метилмалоновая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 (дефицит </w:t>
      </w:r>
      <w:proofErr w:type="spellStart"/>
      <w:r>
        <w:rPr>
          <w:color w:val="000000" w:themeColor="text1"/>
          <w:sz w:val="28"/>
          <w:szCs w:val="28"/>
        </w:rPr>
        <w:t>метилмалонил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KoA-эпимеразы</w:t>
      </w:r>
      <w:proofErr w:type="spellEnd"/>
      <w:r>
        <w:rPr>
          <w:color w:val="000000" w:themeColor="text1"/>
          <w:sz w:val="28"/>
          <w:szCs w:val="28"/>
        </w:rPr>
        <w:t xml:space="preserve">); </w:t>
      </w:r>
      <w:proofErr w:type="spellStart"/>
      <w:r>
        <w:rPr>
          <w:color w:val="000000" w:themeColor="text1"/>
          <w:sz w:val="28"/>
          <w:szCs w:val="28"/>
        </w:rPr>
        <w:t>метилмалоновая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 (недостаточность кобаламина D); </w:t>
      </w:r>
      <w:proofErr w:type="spellStart"/>
      <w:r>
        <w:rPr>
          <w:color w:val="000000" w:themeColor="text1"/>
          <w:sz w:val="28"/>
          <w:szCs w:val="28"/>
        </w:rPr>
        <w:t>метилмалоновая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 (недостаточность кобаламина C); изовалериановая 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 xml:space="preserve"> изовалериановая); 3-гидрокси-3-метилглутаровая недостаточность; бета-</w:t>
      </w:r>
      <w:proofErr w:type="spellStart"/>
      <w:r>
        <w:rPr>
          <w:color w:val="000000" w:themeColor="text1"/>
          <w:sz w:val="28"/>
          <w:szCs w:val="28"/>
        </w:rPr>
        <w:t>кетотиолазная</w:t>
      </w:r>
      <w:proofErr w:type="spellEnd"/>
      <w:r>
        <w:rPr>
          <w:color w:val="000000" w:themeColor="text1"/>
          <w:sz w:val="28"/>
          <w:szCs w:val="28"/>
        </w:rPr>
        <w:t xml:space="preserve"> недостаточность; нарушения обмена жирных кислот (первичная </w:t>
      </w:r>
      <w:proofErr w:type="spellStart"/>
      <w:r>
        <w:rPr>
          <w:color w:val="000000" w:themeColor="text1"/>
          <w:sz w:val="28"/>
          <w:szCs w:val="28"/>
        </w:rPr>
        <w:t>карнитиновая</w:t>
      </w:r>
      <w:proofErr w:type="spellEnd"/>
      <w:r>
        <w:rPr>
          <w:color w:val="000000" w:themeColor="text1"/>
          <w:sz w:val="28"/>
          <w:szCs w:val="28"/>
        </w:rPr>
        <w:t xml:space="preserve"> недостаточность); </w:t>
      </w:r>
      <w:proofErr w:type="spellStart"/>
      <w:r>
        <w:rPr>
          <w:color w:val="000000" w:themeColor="text1"/>
          <w:sz w:val="28"/>
          <w:szCs w:val="28"/>
        </w:rPr>
        <w:t>среднецепочечная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ацил-KoA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lastRenderedPageBreak/>
        <w:t>дегидрогеназная</w:t>
      </w:r>
      <w:proofErr w:type="spellEnd"/>
      <w:r>
        <w:rPr>
          <w:color w:val="000000" w:themeColor="text1"/>
          <w:sz w:val="28"/>
          <w:szCs w:val="28"/>
        </w:rPr>
        <w:t xml:space="preserve"> недостаточность; длинноцепочечная ацетил-</w:t>
      </w:r>
      <w:proofErr w:type="spellStart"/>
      <w:r>
        <w:rPr>
          <w:color w:val="000000" w:themeColor="text1"/>
          <w:sz w:val="28"/>
          <w:szCs w:val="28"/>
        </w:rPr>
        <w:t>KoA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дегидрогеназная</w:t>
      </w:r>
      <w:proofErr w:type="spellEnd"/>
      <w:r>
        <w:rPr>
          <w:color w:val="000000" w:themeColor="text1"/>
          <w:sz w:val="28"/>
          <w:szCs w:val="28"/>
        </w:rPr>
        <w:t xml:space="preserve"> недостаточность (дефицит очень длинной цепи </w:t>
      </w:r>
      <w:proofErr w:type="spellStart"/>
      <w:r>
        <w:rPr>
          <w:color w:val="000000" w:themeColor="text1"/>
          <w:sz w:val="28"/>
          <w:szCs w:val="28"/>
        </w:rPr>
        <w:t>ацил-KoA-дегидрогеназы</w:t>
      </w:r>
      <w:proofErr w:type="spellEnd"/>
      <w:r>
        <w:rPr>
          <w:color w:val="000000" w:themeColor="text1"/>
          <w:sz w:val="28"/>
          <w:szCs w:val="28"/>
        </w:rPr>
        <w:t xml:space="preserve"> (VLCAD); очень длинноцепочечная ацетил-</w:t>
      </w:r>
      <w:proofErr w:type="spellStart"/>
      <w:r>
        <w:rPr>
          <w:color w:val="000000" w:themeColor="text1"/>
          <w:sz w:val="28"/>
          <w:szCs w:val="28"/>
        </w:rPr>
        <w:t>KoA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дегидрогеназная</w:t>
      </w:r>
      <w:proofErr w:type="spellEnd"/>
      <w:r>
        <w:rPr>
          <w:color w:val="000000" w:themeColor="text1"/>
          <w:sz w:val="28"/>
          <w:szCs w:val="28"/>
        </w:rPr>
        <w:t xml:space="preserve"> недостаточность (дефицит очень длинной цепи </w:t>
      </w:r>
      <w:proofErr w:type="spellStart"/>
      <w:r>
        <w:rPr>
          <w:color w:val="000000" w:themeColor="text1"/>
          <w:sz w:val="28"/>
          <w:szCs w:val="28"/>
        </w:rPr>
        <w:t>ацил-KoA-дегидрогеназы</w:t>
      </w:r>
      <w:proofErr w:type="spellEnd"/>
      <w:r>
        <w:rPr>
          <w:color w:val="000000" w:themeColor="text1"/>
          <w:sz w:val="28"/>
          <w:szCs w:val="28"/>
        </w:rPr>
        <w:t xml:space="preserve"> (VLCAD); недостаточность </w:t>
      </w:r>
      <w:proofErr w:type="spellStart"/>
      <w:r>
        <w:rPr>
          <w:color w:val="000000" w:themeColor="text1"/>
          <w:sz w:val="28"/>
          <w:szCs w:val="28"/>
        </w:rPr>
        <w:t>митохондриального</w:t>
      </w:r>
      <w:proofErr w:type="spellEnd"/>
      <w:r>
        <w:rPr>
          <w:color w:val="000000" w:themeColor="text1"/>
          <w:sz w:val="28"/>
          <w:szCs w:val="28"/>
        </w:rPr>
        <w:t xml:space="preserve"> трифункционального белка; недостаточность </w:t>
      </w:r>
      <w:proofErr w:type="spellStart"/>
      <w:r>
        <w:rPr>
          <w:color w:val="000000" w:themeColor="text1"/>
          <w:sz w:val="28"/>
          <w:szCs w:val="28"/>
        </w:rPr>
        <w:t>карнитинпальмитоилтрансферазы</w:t>
      </w:r>
      <w:proofErr w:type="spellEnd"/>
      <w:r>
        <w:rPr>
          <w:color w:val="000000" w:themeColor="text1"/>
          <w:sz w:val="28"/>
          <w:szCs w:val="28"/>
        </w:rPr>
        <w:t xml:space="preserve">, тип I; недостаточность карнитин </w:t>
      </w:r>
      <w:proofErr w:type="spellStart"/>
      <w:r>
        <w:rPr>
          <w:color w:val="000000" w:themeColor="text1"/>
          <w:sz w:val="28"/>
          <w:szCs w:val="28"/>
        </w:rPr>
        <w:t>пальмитоилтрансферазы</w:t>
      </w:r>
      <w:proofErr w:type="spellEnd"/>
      <w:r>
        <w:rPr>
          <w:color w:val="000000" w:themeColor="text1"/>
          <w:sz w:val="28"/>
          <w:szCs w:val="28"/>
        </w:rPr>
        <w:t xml:space="preserve">, тип II; недостаточность карнитин, </w:t>
      </w:r>
      <w:proofErr w:type="spellStart"/>
      <w:r>
        <w:rPr>
          <w:color w:val="000000" w:themeColor="text1"/>
          <w:sz w:val="28"/>
          <w:szCs w:val="28"/>
        </w:rPr>
        <w:t>ацилкарнитинтранслоказы</w:t>
      </w:r>
      <w:proofErr w:type="spellEnd"/>
      <w:r>
        <w:rPr>
          <w:color w:val="000000" w:themeColor="text1"/>
          <w:sz w:val="28"/>
          <w:szCs w:val="28"/>
        </w:rPr>
        <w:t>; нарушения обмена серосодержащих аминокислот (</w:t>
      </w:r>
      <w:proofErr w:type="spellStart"/>
      <w:r>
        <w:rPr>
          <w:color w:val="000000" w:themeColor="text1"/>
          <w:sz w:val="28"/>
          <w:szCs w:val="28"/>
        </w:rPr>
        <w:t>гомоцистинурия</w:t>
      </w:r>
      <w:proofErr w:type="spellEnd"/>
      <w:r>
        <w:rPr>
          <w:color w:val="000000" w:themeColor="text1"/>
          <w:sz w:val="28"/>
          <w:szCs w:val="28"/>
        </w:rPr>
        <w:t>); нарушения обмена цикла мочевины (</w:t>
      </w:r>
      <w:proofErr w:type="spellStart"/>
      <w:r>
        <w:rPr>
          <w:color w:val="000000" w:themeColor="text1"/>
          <w:sz w:val="28"/>
          <w:szCs w:val="28"/>
        </w:rPr>
        <w:t>цитруллинемия</w:t>
      </w:r>
      <w:proofErr w:type="spellEnd"/>
      <w:r>
        <w:rPr>
          <w:color w:val="000000" w:themeColor="text1"/>
          <w:sz w:val="28"/>
          <w:szCs w:val="28"/>
        </w:rPr>
        <w:t xml:space="preserve">, тип I; </w:t>
      </w:r>
      <w:proofErr w:type="spellStart"/>
      <w:r>
        <w:rPr>
          <w:color w:val="000000" w:themeColor="text1"/>
          <w:sz w:val="28"/>
          <w:szCs w:val="28"/>
        </w:rPr>
        <w:t>аргиназная</w:t>
      </w:r>
      <w:proofErr w:type="spellEnd"/>
      <w:r>
        <w:rPr>
          <w:color w:val="000000" w:themeColor="text1"/>
          <w:sz w:val="28"/>
          <w:szCs w:val="28"/>
        </w:rPr>
        <w:t xml:space="preserve"> недостаточность); нарушения обмена лизина и </w:t>
      </w:r>
      <w:proofErr w:type="spellStart"/>
      <w:r>
        <w:rPr>
          <w:color w:val="000000" w:themeColor="text1"/>
          <w:sz w:val="28"/>
          <w:szCs w:val="28"/>
        </w:rPr>
        <w:t>гидроксилизина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глутаровая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ацидемея</w:t>
      </w:r>
      <w:proofErr w:type="spellEnd"/>
      <w:r>
        <w:rPr>
          <w:color w:val="000000" w:themeColor="text1"/>
          <w:sz w:val="28"/>
          <w:szCs w:val="28"/>
        </w:rPr>
        <w:t xml:space="preserve">, тип I; </w:t>
      </w:r>
      <w:proofErr w:type="spellStart"/>
      <w:r>
        <w:rPr>
          <w:color w:val="000000" w:themeColor="text1"/>
          <w:sz w:val="28"/>
          <w:szCs w:val="28"/>
        </w:rPr>
        <w:t>глутаровая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ацидемия</w:t>
      </w:r>
      <w:proofErr w:type="spellEnd"/>
      <w:r>
        <w:rPr>
          <w:color w:val="000000" w:themeColor="text1"/>
          <w:sz w:val="28"/>
          <w:szCs w:val="28"/>
        </w:rPr>
        <w:t>, тип II (рибофлавин – чувствительная форма)); детская спинальная мышечная атрофия, I тип (</w:t>
      </w:r>
      <w:proofErr w:type="spellStart"/>
      <w:r>
        <w:rPr>
          <w:color w:val="000000" w:themeColor="text1"/>
          <w:sz w:val="28"/>
          <w:szCs w:val="28"/>
        </w:rPr>
        <w:t>Вердинга-Гоффмана</w:t>
      </w:r>
      <w:proofErr w:type="spellEnd"/>
      <w:r>
        <w:rPr>
          <w:color w:val="000000" w:themeColor="text1"/>
          <w:sz w:val="28"/>
          <w:szCs w:val="28"/>
        </w:rPr>
        <w:t xml:space="preserve">); другие наследственные спинальные мышечные атрофии; первичные иммунодефициты); Х-сцепленная </w:t>
      </w:r>
      <w:proofErr w:type="spellStart"/>
      <w:r>
        <w:rPr>
          <w:color w:val="000000" w:themeColor="text1"/>
          <w:sz w:val="28"/>
          <w:szCs w:val="28"/>
        </w:rPr>
        <w:t>адренолейкодистрофия</w:t>
      </w:r>
      <w:proofErr w:type="spellEnd"/>
      <w:r>
        <w:rPr>
          <w:color w:val="000000" w:themeColor="text1"/>
          <w:sz w:val="28"/>
          <w:szCs w:val="28"/>
        </w:rPr>
        <w:t xml:space="preserve">; дефицит </w:t>
      </w:r>
      <w:proofErr w:type="spellStart"/>
      <w:r>
        <w:rPr>
          <w:color w:val="000000" w:themeColor="text1"/>
          <w:sz w:val="28"/>
          <w:szCs w:val="28"/>
        </w:rPr>
        <w:t>декарбоксилазы</w:t>
      </w:r>
      <w:proofErr w:type="spellEnd"/>
      <w:r>
        <w:rPr>
          <w:color w:val="000000" w:themeColor="text1"/>
          <w:sz w:val="28"/>
          <w:szCs w:val="28"/>
        </w:rPr>
        <w:t xml:space="preserve"> ароматических L-аминокислот (AADCD) – новорожденные, родившиеся живыми;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зубное протезирование гражданам отдельных категорий в соответствии с законодательством автономного округа, в том числе лицам, находящимся в стационарных организациях социального обслуживания.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Беременные женщины, обратившиеся в медицинские организации и иные организации, оказывающие медицинскую помощь по профилю «акушерство и гинекология»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Депздрав</w:t>
      </w:r>
      <w:proofErr w:type="spellEnd"/>
      <w:r>
        <w:rPr>
          <w:color w:val="000000" w:themeColor="text1"/>
          <w:sz w:val="28"/>
          <w:szCs w:val="28"/>
        </w:rPr>
        <w:t xml:space="preserve"> Югры в порядке, утвержденном Минздравом России, ведет 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определению причины, приведшей к желанию женщины прервать беременность, а также оценивают эффективность такой помощи.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Дополнительно к объемам медицинской помощи, оказываемой гражданам в рамках Территориальной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</w:t>
      </w:r>
      <w:proofErr w:type="spellStart"/>
      <w:r>
        <w:rPr>
          <w:color w:val="000000" w:themeColor="text1"/>
          <w:sz w:val="28"/>
          <w:szCs w:val="28"/>
        </w:rPr>
        <w:t>жизнеугрожающими</w:t>
      </w:r>
      <w:proofErr w:type="spellEnd"/>
      <w:r>
        <w:rPr>
          <w:color w:val="000000" w:themeColor="text1"/>
          <w:sz w:val="28"/>
          <w:szCs w:val="28"/>
        </w:rPr>
        <w:t xml:space="preserve"> и хроническими заболеваниями, в том числе прогрессирующими редкими (</w:t>
      </w:r>
      <w:proofErr w:type="spellStart"/>
      <w:r>
        <w:rPr>
          <w:color w:val="000000" w:themeColor="text1"/>
          <w:sz w:val="28"/>
          <w:szCs w:val="28"/>
        </w:rPr>
        <w:t>орфанными</w:t>
      </w:r>
      <w:proofErr w:type="spellEnd"/>
      <w:r>
        <w:rPr>
          <w:color w:val="000000" w:themeColor="text1"/>
          <w:sz w:val="28"/>
          <w:szCs w:val="28"/>
        </w:rPr>
        <w:t>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перечень реабилитационных мероприятий и услуг, предоставляемых инвалиду.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Регистрация и учет впервые выявленных пациентов со злокачественными новообразованиями, в том числе диагноз которых </w:t>
      </w:r>
      <w:r>
        <w:rPr>
          <w:color w:val="000000" w:themeColor="text1"/>
          <w:sz w:val="28"/>
          <w:szCs w:val="28"/>
        </w:rPr>
        <w:lastRenderedPageBreak/>
        <w:t>установлен медицинскими организациями,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медицинские организации, осуществляется в соответствии с порядком оказания медицинской помощи взрослому населению при онкологических заболеваниях, утвержденным приказом Минздрава России от 19 февраля 2021 года № 116н.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помощь, специализированная, в том числе высокотехнологичная, медицинская помощь может быть оказана в медицинских организациях, оказывающих медицинскую помощь детям по профилю «детская онкология», в случаях и при соблюдении условий, установленных порядком оказания медицинской помощи, утвержденным Минздравом России.</w:t>
      </w:r>
    </w:p>
    <w:p w:rsidR="001401A0" w:rsidRDefault="001401A0" w:rsidP="001401A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Граждане с тяжелыми </w:t>
      </w:r>
      <w:proofErr w:type="spellStart"/>
      <w:r>
        <w:rPr>
          <w:color w:val="000000" w:themeColor="text1"/>
          <w:sz w:val="28"/>
          <w:szCs w:val="28"/>
        </w:rPr>
        <w:t>жизнеугрожающими</w:t>
      </w:r>
      <w:proofErr w:type="spellEnd"/>
      <w:r>
        <w:rPr>
          <w:color w:val="000000" w:themeColor="text1"/>
          <w:sz w:val="28"/>
          <w:szCs w:val="28"/>
        </w:rPr>
        <w:t xml:space="preserve"> и хроническими заболеваниями имеют право на назначение им врачебными комиссиями медицинских организаций, требования к которым устанавливает Минздрав России, не зарегистрированных в Российской Федерации лекарственных препаратов для медицинского применения в порядке, устанавливаемом Минздравом России (включая критерии назначения таких лекарственных препаратов, а также порядок их применения).</w:t>
      </w:r>
    </w:p>
    <w:p w:rsidR="004546AC" w:rsidRDefault="004546AC" w:rsidP="001401A0">
      <w:pPr>
        <w:pStyle w:val="ConsPlusTitle"/>
        <w:jc w:val="center"/>
        <w:outlineLvl w:val="1"/>
        <w:rPr>
          <w:szCs w:val="24"/>
        </w:rPr>
      </w:pPr>
    </w:p>
    <w:bookmarkStart w:id="0" w:name="_GoBack"/>
    <w:p w:rsidR="006E4D2D" w:rsidRPr="001401A0" w:rsidRDefault="001401A0" w:rsidP="006E4D2D">
      <w:pPr>
        <w:spacing w:after="160" w:line="259" w:lineRule="auto"/>
        <w:rPr>
          <w:rFonts w:asciiTheme="minorHAnsi" w:eastAsiaTheme="minorEastAsia" w:hAnsiTheme="minorHAnsi"/>
          <w:b/>
          <w:i/>
          <w:sz w:val="22"/>
          <w:szCs w:val="22"/>
        </w:rPr>
      </w:pPr>
      <w:r w:rsidRPr="001401A0">
        <w:rPr>
          <w:rFonts w:eastAsiaTheme="minorEastAsia"/>
          <w:b/>
          <w:i/>
          <w:iCs/>
          <w:sz w:val="22"/>
          <w:szCs w:val="22"/>
        </w:rPr>
        <w:fldChar w:fldCharType="begin"/>
      </w:r>
      <w:r w:rsidRPr="001401A0">
        <w:rPr>
          <w:rFonts w:eastAsiaTheme="minorEastAsia"/>
          <w:b/>
          <w:i/>
          <w:iCs/>
          <w:sz w:val="22"/>
          <w:szCs w:val="22"/>
        </w:rPr>
        <w:instrText xml:space="preserve"> HYPERLINK "https://login.consultant.ru/link/?req=doc&amp;base=RLAW926&amp;n=298301&amp;date=18.03.2024&amp;dst=100043&amp;field=134" </w:instrText>
      </w:r>
      <w:r w:rsidRPr="001401A0">
        <w:rPr>
          <w:rFonts w:eastAsiaTheme="minorEastAsia"/>
          <w:b/>
          <w:i/>
          <w:iCs/>
          <w:sz w:val="22"/>
          <w:szCs w:val="22"/>
        </w:rPr>
        <w:fldChar w:fldCharType="separate"/>
      </w:r>
      <w:r w:rsidR="006E4D2D" w:rsidRPr="001401A0">
        <w:rPr>
          <w:rFonts w:eastAsiaTheme="minorEastAsia"/>
          <w:b/>
          <w:i/>
          <w:iCs/>
          <w:sz w:val="22"/>
          <w:szCs w:val="22"/>
        </w:rPr>
        <w:br/>
        <w:t xml:space="preserve">Постановление </w:t>
      </w:r>
      <w:r w:rsidR="006E4D2D" w:rsidRPr="001401A0">
        <w:rPr>
          <w:rFonts w:eastAsiaTheme="minorEastAsia"/>
          <w:b/>
          <w:i/>
          <w:sz w:val="22"/>
          <w:szCs w:val="22"/>
        </w:rPr>
        <w:t>Правительства Ханты-Мансийского автономного округа – Югры от 30 декабря 2025 года № 592-п</w:t>
      </w:r>
      <w:r w:rsidR="006E4D2D" w:rsidRPr="001401A0">
        <w:rPr>
          <w:rFonts w:eastAsiaTheme="minorEastAsia"/>
          <w:b/>
          <w:i/>
          <w:iCs/>
          <w:sz w:val="22"/>
          <w:szCs w:val="22"/>
        </w:rPr>
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</w:r>
      <w:r w:rsidRPr="001401A0">
        <w:rPr>
          <w:rFonts w:eastAsiaTheme="minorEastAsia"/>
          <w:b/>
          <w:i/>
          <w:iCs/>
          <w:sz w:val="22"/>
          <w:szCs w:val="22"/>
        </w:rPr>
        <w:fldChar w:fldCharType="end"/>
      </w:r>
      <w:r w:rsidR="006E4D2D" w:rsidRPr="001401A0">
        <w:rPr>
          <w:rFonts w:eastAsiaTheme="minorEastAsia"/>
          <w:b/>
          <w:i/>
          <w:sz w:val="22"/>
          <w:szCs w:val="22"/>
        </w:rPr>
        <w:br/>
      </w:r>
    </w:p>
    <w:bookmarkEnd w:id="0"/>
    <w:p w:rsidR="006E4D2D" w:rsidRPr="001401A0" w:rsidRDefault="006E4D2D" w:rsidP="006E4D2D">
      <w:pPr>
        <w:rPr>
          <w:b/>
          <w:sz w:val="24"/>
          <w:szCs w:val="24"/>
        </w:rPr>
      </w:pPr>
    </w:p>
    <w:sectPr w:rsidR="006E4D2D" w:rsidRPr="0014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B3"/>
    <w:rsid w:val="001401A0"/>
    <w:rsid w:val="004546AC"/>
    <w:rsid w:val="006E4D2D"/>
    <w:rsid w:val="00E3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7CAFB-74BD-435E-AFB3-4B02455C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E4D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1390</Words>
  <Characters>7928</Characters>
  <Application>Microsoft Office Word</Application>
  <DocSecurity>0</DocSecurity>
  <Lines>66</Lines>
  <Paragraphs>18</Paragraphs>
  <ScaleCrop>false</ScaleCrop>
  <Company>БУ ХМАО ОКД "ЦДиССХ"</Company>
  <LinksUpToDate>false</LinksUpToDate>
  <CharactersWithSpaces>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3</cp:revision>
  <dcterms:created xsi:type="dcterms:W3CDTF">2026-01-14T11:15:00Z</dcterms:created>
  <dcterms:modified xsi:type="dcterms:W3CDTF">2026-01-15T04:58:00Z</dcterms:modified>
</cp:coreProperties>
</file>